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4A8B" w:rsidRDefault="00A14A8B" w:rsidP="00A14A8B">
      <w:pPr>
        <w:spacing w:line="480" w:lineRule="auto"/>
        <w:jc w:val="center"/>
        <w:rPr>
          <w:b/>
        </w:rPr>
      </w:pPr>
    </w:p>
    <w:p w:rsidR="00A14A8B" w:rsidRDefault="00A14A8B" w:rsidP="00A14A8B">
      <w:pPr>
        <w:spacing w:line="480" w:lineRule="auto"/>
        <w:jc w:val="center"/>
        <w:rPr>
          <w:b/>
        </w:rPr>
      </w:pPr>
    </w:p>
    <w:p w:rsidR="00A14A8B" w:rsidRDefault="00A14A8B" w:rsidP="00A14A8B">
      <w:pPr>
        <w:spacing w:line="480" w:lineRule="auto"/>
        <w:jc w:val="center"/>
        <w:rPr>
          <w:b/>
        </w:rPr>
      </w:pPr>
    </w:p>
    <w:p w:rsidR="00A14A8B" w:rsidRDefault="00A14A8B" w:rsidP="00A14A8B">
      <w:pPr>
        <w:spacing w:line="480" w:lineRule="auto"/>
        <w:jc w:val="center"/>
        <w:rPr>
          <w:b/>
        </w:rPr>
      </w:pPr>
    </w:p>
    <w:p w:rsidR="00A14A8B" w:rsidRPr="00A14A8B" w:rsidRDefault="00A14A8B" w:rsidP="009A46E0">
      <w:pPr>
        <w:spacing w:line="480" w:lineRule="auto"/>
        <w:jc w:val="center"/>
        <w:rPr>
          <w:b/>
        </w:rPr>
      </w:pPr>
      <w:r w:rsidRPr="00A14A8B">
        <w:rPr>
          <w:b/>
        </w:rPr>
        <w:t>Article Review: Critical Review</w:t>
      </w:r>
    </w:p>
    <w:p w:rsidR="00A14A8B" w:rsidRDefault="00A14A8B" w:rsidP="009A46E0">
      <w:pPr>
        <w:spacing w:line="480" w:lineRule="auto"/>
        <w:jc w:val="center"/>
      </w:pPr>
    </w:p>
    <w:p w:rsidR="00A14A8B" w:rsidRDefault="00A14A8B" w:rsidP="009A46E0">
      <w:pPr>
        <w:spacing w:line="480" w:lineRule="auto"/>
        <w:jc w:val="center"/>
      </w:pPr>
    </w:p>
    <w:p w:rsidR="00A14A8B" w:rsidRDefault="00A14A8B" w:rsidP="009A46E0">
      <w:pPr>
        <w:spacing w:line="480" w:lineRule="auto"/>
        <w:jc w:val="center"/>
      </w:pPr>
    </w:p>
    <w:p w:rsidR="00A14A8B" w:rsidRPr="00A14A8B" w:rsidRDefault="00A14A8B" w:rsidP="009A46E0">
      <w:pPr>
        <w:spacing w:line="480" w:lineRule="auto"/>
        <w:jc w:val="center"/>
      </w:pPr>
      <w:r w:rsidRPr="00A14A8B">
        <w:t>Student’s Name</w:t>
      </w:r>
    </w:p>
    <w:p w:rsidR="00A14A8B" w:rsidRPr="00A14A8B" w:rsidRDefault="00A14A8B" w:rsidP="009A46E0">
      <w:pPr>
        <w:spacing w:line="480" w:lineRule="auto"/>
        <w:jc w:val="center"/>
      </w:pPr>
      <w:r w:rsidRPr="00A14A8B">
        <w:t>Institution of Affiliation</w:t>
      </w:r>
    </w:p>
    <w:p w:rsidR="00A14A8B" w:rsidRPr="00A14A8B" w:rsidRDefault="00A14A8B" w:rsidP="009A46E0">
      <w:pPr>
        <w:spacing w:line="480" w:lineRule="auto"/>
        <w:jc w:val="center"/>
      </w:pPr>
      <w:r w:rsidRPr="00A14A8B">
        <w:t>Professor</w:t>
      </w:r>
    </w:p>
    <w:p w:rsidR="00A14A8B" w:rsidRPr="00A14A8B" w:rsidRDefault="00A14A8B" w:rsidP="009A46E0">
      <w:pPr>
        <w:spacing w:line="480" w:lineRule="auto"/>
        <w:jc w:val="center"/>
      </w:pPr>
      <w:r w:rsidRPr="00A14A8B">
        <w:t>Date</w:t>
      </w:r>
    </w:p>
    <w:p w:rsidR="00A14A8B" w:rsidRDefault="00A14A8B">
      <w:r>
        <w:br w:type="page"/>
      </w:r>
    </w:p>
    <w:p w:rsidR="00203DC0" w:rsidRPr="00203DC0" w:rsidRDefault="00203DC0" w:rsidP="00203DC0">
      <w:pPr>
        <w:spacing w:line="480" w:lineRule="auto"/>
        <w:jc w:val="center"/>
        <w:rPr>
          <w:b/>
        </w:rPr>
      </w:pPr>
      <w:r w:rsidRPr="00A14A8B">
        <w:rPr>
          <w:b/>
        </w:rPr>
        <w:lastRenderedPageBreak/>
        <w:t>Article Review: Critical Review</w:t>
      </w:r>
    </w:p>
    <w:p w:rsidR="009A46E0" w:rsidRDefault="00113560" w:rsidP="009A46E0">
      <w:pPr>
        <w:spacing w:line="480" w:lineRule="auto"/>
      </w:pPr>
      <w:r w:rsidRPr="00A14A8B">
        <w:t xml:space="preserve">Goldstick, E. J., </w:t>
      </w:r>
      <w:r w:rsidR="003B15D5" w:rsidRPr="00A14A8B">
        <w:t>W</w:t>
      </w:r>
      <w:r w:rsidRPr="00A14A8B">
        <w:t xml:space="preserve">alton, A.  M., Bohnert, S. A., Heinze, E. J., &amp; Cunningham, M. R. (2019). </w:t>
      </w:r>
    </w:p>
    <w:p w:rsidR="004A38AF" w:rsidRPr="00A14A8B" w:rsidRDefault="00113560" w:rsidP="009A46E0">
      <w:pPr>
        <w:spacing w:line="480" w:lineRule="auto"/>
        <w:ind w:left="720"/>
      </w:pPr>
      <w:r w:rsidRPr="00A14A8B">
        <w:t xml:space="preserve">Predictors of Alcohol use transitions among Drug-using Youth Presenting to an Urban Emergency Department. </w:t>
      </w:r>
      <w:r w:rsidR="00634B54" w:rsidRPr="00A14A8B">
        <w:rPr>
          <w:i/>
        </w:rPr>
        <w:t>PLoSONE</w:t>
      </w:r>
      <w:r w:rsidR="003B15D5" w:rsidRPr="00A14A8B">
        <w:t>, 14(12): e0227140.</w:t>
      </w:r>
    </w:p>
    <w:p w:rsidR="00113560" w:rsidRPr="00A14A8B" w:rsidRDefault="00113560" w:rsidP="00A14A8B">
      <w:pPr>
        <w:spacing w:line="480" w:lineRule="auto"/>
        <w:ind w:firstLine="720"/>
      </w:pPr>
      <w:r w:rsidRPr="00A14A8B">
        <w:t>This article summarizes the data from a Flint Youth Injury (FYI) study that was carried out at Hurley Medical Center (HMC) in Flint, Michigan early in December 2009. The purpose of the study was to evaluate the medical and mental health service needs of the youths in this city, aged 14-24 who were involved in drug abuse, and to compare the service ne</w:t>
      </w:r>
      <w:r w:rsidR="00A62549" w:rsidRPr="00A14A8B">
        <w:t>e</w:t>
      </w:r>
      <w:r w:rsidRPr="00A14A8B">
        <w:t>ds of violently injured (VI) youths with those of a comparison group made up of non-</w:t>
      </w:r>
      <w:r w:rsidR="00A62549" w:rsidRPr="00A14A8B">
        <w:t>violently-injured youths</w:t>
      </w:r>
      <w:r w:rsidRPr="00A14A8B">
        <w:t xml:space="preserve">. </w:t>
      </w:r>
      <w:r w:rsidR="00A62549" w:rsidRPr="00A14A8B">
        <w:t xml:space="preserve">The study design employed in this research was a longitudinal study: cohort study to be exact. </w:t>
      </w:r>
      <w:r w:rsidRPr="00A14A8B">
        <w:t xml:space="preserve">The study population included the youths, aged 14-24, who </w:t>
      </w:r>
      <w:r w:rsidR="0004185F" w:rsidRPr="00A14A8B">
        <w:t xml:space="preserve">lived in Flint and </w:t>
      </w:r>
      <w:r w:rsidRPr="00A14A8B">
        <w:t xml:space="preserve">visited the hospital seeking medical care. The majority of the study population were Blacks (58%) drawing form the racial makeup of the city in which the study was conducted. The sampling frame </w:t>
      </w:r>
      <w:r w:rsidR="00A62549" w:rsidRPr="00A14A8B">
        <w:t>was created from the patient records that depicted the number and location of the youths who presented to Hurley Medical Center (HMC) with injuries that were categorized as being either from violent activities or not. In selecting their sample, the researchers and their research assistants made use of purposive sampling, in that the participants for the research were approached on purpose depending on whether they met the study’s pre-determined inclusion criteria. For each VI youth approached, a non-VI youth falling into the same age group and sex was approached (</w:t>
      </w:r>
      <w:r w:rsidR="00A14A8B" w:rsidRPr="00A14A8B">
        <w:t>Goldstick et al. 2019</w:t>
      </w:r>
      <w:r w:rsidR="00A62549" w:rsidRPr="00A14A8B">
        <w:t xml:space="preserve">). The observational unit used to measure and diagnose alcohol use disorder (AUD) was Mini-International Neuropsychiatric Interview (MINI). The dependent variable was the occurrence of Alcohol Use Disorder and was subject to change following change in the </w:t>
      </w:r>
      <w:r w:rsidR="00A62549" w:rsidRPr="00A14A8B">
        <w:lastRenderedPageBreak/>
        <w:t xml:space="preserve">independent variable that as the occurrence of violent injury to the youth in the course of their life. </w:t>
      </w:r>
    </w:p>
    <w:p w:rsidR="0004185F" w:rsidRPr="00A14A8B" w:rsidRDefault="0004185F" w:rsidP="00A14A8B">
      <w:pPr>
        <w:spacing w:line="480" w:lineRule="auto"/>
        <w:ind w:firstLine="720"/>
      </w:pPr>
      <w:r w:rsidRPr="00A14A8B">
        <w:t>The benefits of the research design used in this particular study include the fact that researchers using cohort studies can determine incidence rates and risks of the health outcome that they were measuring</w:t>
      </w:r>
      <w:r w:rsidR="00A14A8B" w:rsidRPr="00A14A8B">
        <w:t xml:space="preserve"> (Gordis, 2014)</w:t>
      </w:r>
      <w:r w:rsidRPr="00A14A8B">
        <w:t>. Secondly, this research design allow for more than one exposure to be examined as they relate to the desired health outcome: that is, more than one variable can be measured simultaneously and it is suitable when the exposure is rare</w:t>
      </w:r>
      <w:r w:rsidR="00A14A8B" w:rsidRPr="00A14A8B">
        <w:t xml:space="preserve"> (Gordis, 2014)</w:t>
      </w:r>
      <w:r w:rsidRPr="00A14A8B">
        <w:t>. Thirdly, the research design allows for the establishment of definitive cause-and-effect relationship. Lastly, this research design minimizes selection and information bias (</w:t>
      </w:r>
      <w:r w:rsidR="00CB7DDA" w:rsidRPr="00A14A8B">
        <w:t>Gordis, 2014</w:t>
      </w:r>
      <w:r w:rsidRPr="00A14A8B">
        <w:t>). The major drawbacks of this kind of research design is that the participants can be lost to follow up, it requires long time to complete and a large sample, rendering it expensive to execute, and lastly, it is ineffective for rare diseases (</w:t>
      </w:r>
      <w:r w:rsidR="00CB7DDA" w:rsidRPr="00A14A8B">
        <w:t>Gordis, 2014</w:t>
      </w:r>
      <w:r w:rsidRPr="00A14A8B">
        <w:t xml:space="preserve">).  </w:t>
      </w:r>
    </w:p>
    <w:p w:rsidR="0004185F" w:rsidRPr="00A14A8B" w:rsidRDefault="0004185F" w:rsidP="00A14A8B">
      <w:pPr>
        <w:spacing w:line="480" w:lineRule="auto"/>
        <w:ind w:firstLine="720"/>
      </w:pPr>
      <w:r w:rsidRPr="00A14A8B">
        <w:t xml:space="preserve">Concerning purposive sampling method as was employed in this research, its main advantage include the fact that it requires moderate cost to execute, it is the sampling method that is commonly used and well understood hence, it is easy to use, and lastly, the sample as selected through this method will meet a specific objective. The disadvantages of judgment sampling includes the fact that this sampling method introduces </w:t>
      </w:r>
      <w:r w:rsidR="003B15D5" w:rsidRPr="00A14A8B">
        <w:t>selection bias, and</w:t>
      </w:r>
      <w:r w:rsidRPr="00A14A8B">
        <w:t xml:space="preserve"> the projecting of data acquired through</w:t>
      </w:r>
      <w:r w:rsidR="003B15D5" w:rsidRPr="00A14A8B">
        <w:t xml:space="preserve"> method beyond the level of the sample is not justified: that is, it limits the ability of the researchers to generalize their findings to the rest of the target population from which the sample was obtained (</w:t>
      </w:r>
      <w:r w:rsidR="00CB7DDA" w:rsidRPr="00A14A8B">
        <w:t>Gordis, 2014</w:t>
      </w:r>
      <w:r w:rsidR="003B15D5" w:rsidRPr="00A14A8B">
        <w:t>).</w:t>
      </w:r>
    </w:p>
    <w:p w:rsidR="00A14A8B" w:rsidRDefault="00A14A8B">
      <w:r>
        <w:br w:type="page"/>
      </w:r>
    </w:p>
    <w:p w:rsidR="009A46E0" w:rsidRDefault="00A417EB" w:rsidP="009A46E0">
      <w:pPr>
        <w:spacing w:line="480" w:lineRule="auto"/>
      </w:pPr>
      <w:r w:rsidRPr="00A14A8B">
        <w:lastRenderedPageBreak/>
        <w:t xml:space="preserve">Baidwan, N. K., &amp; Naranje, S. M. (2017). Epidemiology and Recent Trends of Geriatric </w:t>
      </w:r>
    </w:p>
    <w:p w:rsidR="003B15D5" w:rsidRPr="00A14A8B" w:rsidRDefault="00A417EB" w:rsidP="009A46E0">
      <w:pPr>
        <w:spacing w:line="480" w:lineRule="auto"/>
        <w:ind w:left="720"/>
      </w:pPr>
      <w:r w:rsidRPr="00A14A8B">
        <w:t xml:space="preserve">Fractures presenting to the Emergency Department for United States Population from year 2004-2014. </w:t>
      </w:r>
      <w:r w:rsidRPr="00A14A8B">
        <w:rPr>
          <w:i/>
        </w:rPr>
        <w:t>Public Health</w:t>
      </w:r>
      <w:r w:rsidRPr="00A14A8B">
        <w:t>, 142: 64-69</w:t>
      </w:r>
    </w:p>
    <w:p w:rsidR="00291B01" w:rsidRPr="00A14A8B" w:rsidRDefault="00A417EB" w:rsidP="00A14A8B">
      <w:pPr>
        <w:spacing w:line="480" w:lineRule="auto"/>
        <w:ind w:firstLine="720"/>
      </w:pPr>
      <w:r w:rsidRPr="00A14A8B">
        <w:t xml:space="preserve">This was a descriptive study that employed the use of cross-sectional study design to source out for data from the National Electronic Injury Surveillance System (NEISS) Database in a bid to describe the trends of geriatric fracture related Emergency Department visits over the past 11 years. The target </w:t>
      </w:r>
      <w:r w:rsidR="00291B01" w:rsidRPr="00A14A8B">
        <w:t>population was the geriatric sub</w:t>
      </w:r>
      <w:r w:rsidRPr="00A14A8B">
        <w:t xml:space="preserve">-group </w:t>
      </w:r>
      <w:r w:rsidR="00291B01" w:rsidRPr="00A14A8B">
        <w:t xml:space="preserve">(over 65 years of age) </w:t>
      </w:r>
      <w:r w:rsidRPr="00A14A8B">
        <w:t xml:space="preserve">of the American population. The study population included individuals of 65 years and above who visited emergency </w:t>
      </w:r>
      <w:r w:rsidR="00291B01" w:rsidRPr="00A14A8B">
        <w:t xml:space="preserve">departments across the </w:t>
      </w:r>
      <w:r w:rsidRPr="00A14A8B">
        <w:t>U</w:t>
      </w:r>
      <w:r w:rsidR="00291B01" w:rsidRPr="00A14A8B">
        <w:t>SA with fracture related issues. The sampling frame included all patients 65 years and above who visited the emergency departments with fracture related problems. The main purpose of the study was to present epidemiology of geriatric fractures and their trends in the USA. The observational unit used in this study was the surveillance of fracture injuries using the NEISS Database. The sampling method applied through the NEISS Database was simple random sampling.</w:t>
      </w:r>
    </w:p>
    <w:p w:rsidR="00CB7DDA" w:rsidRPr="00A14A8B" w:rsidRDefault="00291B01" w:rsidP="00A14A8B">
      <w:pPr>
        <w:spacing w:line="480" w:lineRule="auto"/>
        <w:ind w:firstLine="720"/>
      </w:pPr>
      <w:r w:rsidRPr="00A14A8B">
        <w:t xml:space="preserve">The advantages of using descriptive </w:t>
      </w:r>
      <w:r w:rsidR="00CB7DDA" w:rsidRPr="00A14A8B">
        <w:t>epidemiology</w:t>
      </w:r>
      <w:r w:rsidRPr="00A14A8B">
        <w:t xml:space="preserve"> and especially cross-sectional or prevalent studies include the fact that this research design provides prevalence estimates of exposure and disease </w:t>
      </w:r>
      <w:r w:rsidR="00CB7DDA" w:rsidRPr="00A14A8B">
        <w:t>o</w:t>
      </w:r>
      <w:r w:rsidRPr="00A14A8B">
        <w:t>f a well-</w:t>
      </w:r>
      <w:r w:rsidR="00CB7DDA" w:rsidRPr="00A14A8B">
        <w:t>defined</w:t>
      </w:r>
      <w:r w:rsidRPr="00A14A8B">
        <w:t xml:space="preserve"> population</w:t>
      </w:r>
      <w:r w:rsidR="00CB7DDA" w:rsidRPr="00A14A8B">
        <w:t xml:space="preserve"> (Gordis, 2014)</w:t>
      </w:r>
      <w:r w:rsidRPr="00A14A8B">
        <w:t>. Secondly, it is relatively inexpensive, easier to perform than the type of studies that require follow up</w:t>
      </w:r>
      <w:r w:rsidR="00CB7DDA" w:rsidRPr="00A14A8B">
        <w:t xml:space="preserve"> (Gordis, 2014)</w:t>
      </w:r>
      <w:r w:rsidRPr="00A14A8B">
        <w:t xml:space="preserve">. Thirdly, the researcher can evaluate multiple risk factors and health outcomes at the same point in time. Lastly, </w:t>
      </w:r>
      <w:r w:rsidR="00CB7DDA" w:rsidRPr="00A14A8B">
        <w:t xml:space="preserve">it can be used to generate hypothesis about the possible association between exposure and the disease outcomes (Gordis, 2014). Its main drawbacks include the fact that </w:t>
      </w:r>
      <w:r w:rsidR="00CB7DDA" w:rsidRPr="00A14A8B">
        <w:lastRenderedPageBreak/>
        <w:t>prevalence (all cases present) rather than incident (new cases) are obtained, and that, the temporal sequence between the exposure and disease cannot be established (Gordis, 2014).</w:t>
      </w:r>
    </w:p>
    <w:p w:rsidR="00CB7DDA" w:rsidRPr="00A14A8B" w:rsidRDefault="00CB7DDA" w:rsidP="00A14A8B">
      <w:pPr>
        <w:spacing w:line="480" w:lineRule="auto"/>
        <w:ind w:firstLine="720"/>
      </w:pPr>
      <w:r w:rsidRPr="00A14A8B">
        <w:t xml:space="preserve">When it comes to simple random sampling as a sampling method, its advantages include that it is easy to analyze the data from the sample, minimal knowledge of the population is needed, and that, both the internal and external validity of the study are ensured and high (Gordis, 2014). The disadvantage of this sampling method include that is quite expensive to use hence used less frequently, it requires a clearly defined sampling frame, it does not use the researcher’s expertise, and lastly, it is associated with a larger risk of random error as compared to the other probability sampling techniques (Gordis, 2014). </w:t>
      </w:r>
    </w:p>
    <w:p w:rsidR="00A14A8B" w:rsidRDefault="00A14A8B">
      <w:r>
        <w:br w:type="page"/>
      </w:r>
    </w:p>
    <w:p w:rsidR="00CB7DDA" w:rsidRPr="001B12D0" w:rsidRDefault="00CB7DDA" w:rsidP="009A46E0">
      <w:pPr>
        <w:tabs>
          <w:tab w:val="center" w:pos="4680"/>
        </w:tabs>
        <w:spacing w:line="480" w:lineRule="auto"/>
        <w:jc w:val="center"/>
        <w:rPr>
          <w:b/>
        </w:rPr>
      </w:pPr>
      <w:r w:rsidRPr="001B12D0">
        <w:rPr>
          <w:b/>
        </w:rPr>
        <w:lastRenderedPageBreak/>
        <w:t>Re</w:t>
      </w:r>
      <w:bookmarkStart w:id="0" w:name="_GoBack"/>
      <w:bookmarkEnd w:id="0"/>
      <w:r w:rsidRPr="001B12D0">
        <w:rPr>
          <w:b/>
        </w:rPr>
        <w:t>ferences</w:t>
      </w:r>
    </w:p>
    <w:p w:rsidR="001B12D0" w:rsidRDefault="001B12D0" w:rsidP="001B12D0">
      <w:pPr>
        <w:spacing w:line="480" w:lineRule="auto"/>
      </w:pPr>
      <w:r w:rsidRPr="00A14A8B">
        <w:t xml:space="preserve">Baidwan, N. K., &amp; Naranje, S. M. (2017). Epidemiology and Recent Trends of Geriatric </w:t>
      </w:r>
    </w:p>
    <w:p w:rsidR="001B12D0" w:rsidRDefault="001B12D0" w:rsidP="001B12D0">
      <w:pPr>
        <w:spacing w:line="480" w:lineRule="auto"/>
        <w:ind w:left="720"/>
      </w:pPr>
      <w:r w:rsidRPr="00A14A8B">
        <w:t xml:space="preserve">Fractures presenting to the Emergency Department for United States Population from year 2004-2014. </w:t>
      </w:r>
      <w:r w:rsidRPr="00A14A8B">
        <w:rPr>
          <w:i/>
        </w:rPr>
        <w:t>Public Health</w:t>
      </w:r>
      <w:r w:rsidRPr="00A14A8B">
        <w:t>, 142: 64-69</w:t>
      </w:r>
    </w:p>
    <w:p w:rsidR="001B12D0" w:rsidRDefault="001B12D0" w:rsidP="001B12D0">
      <w:pPr>
        <w:spacing w:line="480" w:lineRule="auto"/>
      </w:pPr>
      <w:r w:rsidRPr="00A14A8B">
        <w:t xml:space="preserve">Goldstick, E. J., Walton, A.  M., Bohnert, S. A., Heinze, E. J., &amp; Cunningham, M. R. (2019). </w:t>
      </w:r>
    </w:p>
    <w:p w:rsidR="001B12D0" w:rsidRDefault="001B12D0" w:rsidP="001B12D0">
      <w:pPr>
        <w:spacing w:line="480" w:lineRule="auto"/>
        <w:ind w:left="720"/>
      </w:pPr>
      <w:r w:rsidRPr="00A14A8B">
        <w:t xml:space="preserve">Predictors of Alcohol use transitions among Drug-using Youth Presenting to an Urban Emergency Department. </w:t>
      </w:r>
      <w:r w:rsidRPr="00A14A8B">
        <w:rPr>
          <w:i/>
        </w:rPr>
        <w:t>PLoSONE</w:t>
      </w:r>
      <w:r w:rsidRPr="00A14A8B">
        <w:t>, 14(12): e0227140.</w:t>
      </w:r>
    </w:p>
    <w:p w:rsidR="00CB7DDA" w:rsidRDefault="00CB7DDA" w:rsidP="00A14A8B">
      <w:pPr>
        <w:spacing w:line="480" w:lineRule="auto"/>
        <w:ind w:left="720" w:hanging="720"/>
      </w:pPr>
      <w:r w:rsidRPr="00A14A8B">
        <w:t xml:space="preserve">Gordis, L. (2014). </w:t>
      </w:r>
      <w:r w:rsidRPr="00A14A8B">
        <w:rPr>
          <w:i/>
        </w:rPr>
        <w:t>Epidemiology</w:t>
      </w:r>
      <w:r w:rsidRPr="00A14A8B">
        <w:t>. 5</w:t>
      </w:r>
      <w:r w:rsidRPr="00A14A8B">
        <w:rPr>
          <w:vertAlign w:val="superscript"/>
        </w:rPr>
        <w:t>th</w:t>
      </w:r>
      <w:r w:rsidRPr="00A14A8B">
        <w:t xml:space="preserve"> Edition. Elsevier Saunders.</w:t>
      </w:r>
    </w:p>
    <w:p w:rsidR="001B12D0" w:rsidRPr="00A14A8B" w:rsidRDefault="001B12D0" w:rsidP="001B12D0">
      <w:pPr>
        <w:spacing w:line="480" w:lineRule="auto"/>
        <w:ind w:left="720"/>
      </w:pPr>
    </w:p>
    <w:p w:rsidR="001B12D0" w:rsidRPr="00A14A8B" w:rsidRDefault="001B12D0" w:rsidP="00A14A8B">
      <w:pPr>
        <w:spacing w:line="480" w:lineRule="auto"/>
        <w:ind w:left="720" w:hanging="720"/>
      </w:pPr>
    </w:p>
    <w:sectPr w:rsidR="001B12D0" w:rsidRPr="00A14A8B" w:rsidSect="00392AF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5D25" w:rsidRDefault="00B15D25" w:rsidP="00A14A8B">
      <w:pPr>
        <w:spacing w:after="0" w:line="240" w:lineRule="auto"/>
      </w:pPr>
      <w:r>
        <w:separator/>
      </w:r>
    </w:p>
  </w:endnote>
  <w:endnote w:type="continuationSeparator" w:id="1">
    <w:p w:rsidR="00B15D25" w:rsidRDefault="00B15D25" w:rsidP="00A14A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5D25" w:rsidRDefault="00B15D25" w:rsidP="00A14A8B">
      <w:pPr>
        <w:spacing w:after="0" w:line="240" w:lineRule="auto"/>
      </w:pPr>
      <w:r>
        <w:separator/>
      </w:r>
    </w:p>
  </w:footnote>
  <w:footnote w:type="continuationSeparator" w:id="1">
    <w:p w:rsidR="00B15D25" w:rsidRDefault="00B15D25" w:rsidP="00A14A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22706290"/>
      <w:docPartObj>
        <w:docPartGallery w:val="Page Numbers (Top of Page)"/>
        <w:docPartUnique/>
      </w:docPartObj>
    </w:sdtPr>
    <w:sdtEndPr>
      <w:rPr>
        <w:noProof/>
      </w:rPr>
    </w:sdtEndPr>
    <w:sdtContent>
      <w:p w:rsidR="00A14A8B" w:rsidRDefault="00392AF8">
        <w:pPr>
          <w:pStyle w:val="Header"/>
          <w:jc w:val="right"/>
        </w:pPr>
        <w:r>
          <w:fldChar w:fldCharType="begin"/>
        </w:r>
        <w:r w:rsidR="00A14A8B">
          <w:instrText xml:space="preserve"> PAGE   \* MERGEFORMAT </w:instrText>
        </w:r>
        <w:r>
          <w:fldChar w:fldCharType="separate"/>
        </w:r>
        <w:r w:rsidR="00203DC0">
          <w:rPr>
            <w:noProof/>
          </w:rPr>
          <w:t>3</w:t>
        </w:r>
        <w:r>
          <w:rPr>
            <w:noProof/>
          </w:rPr>
          <w:fldChar w:fldCharType="end"/>
        </w:r>
      </w:p>
    </w:sdtContent>
  </w:sdt>
  <w:p w:rsidR="00A14A8B" w:rsidRDefault="00A14A8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footnotePr>
    <w:footnote w:id="0"/>
    <w:footnote w:id="1"/>
  </w:footnotePr>
  <w:endnotePr>
    <w:endnote w:id="0"/>
    <w:endnote w:id="1"/>
  </w:endnotePr>
  <w:compat/>
  <w:rsids>
    <w:rsidRoot w:val="007855BA"/>
    <w:rsid w:val="0004185F"/>
    <w:rsid w:val="00113560"/>
    <w:rsid w:val="001B12D0"/>
    <w:rsid w:val="00203DC0"/>
    <w:rsid w:val="00291B01"/>
    <w:rsid w:val="002A45F5"/>
    <w:rsid w:val="00392AF8"/>
    <w:rsid w:val="003B15D5"/>
    <w:rsid w:val="00420909"/>
    <w:rsid w:val="00634B54"/>
    <w:rsid w:val="007855BA"/>
    <w:rsid w:val="009A46E0"/>
    <w:rsid w:val="00A14A8B"/>
    <w:rsid w:val="00A417EB"/>
    <w:rsid w:val="00A62549"/>
    <w:rsid w:val="00B15D25"/>
    <w:rsid w:val="00C26F12"/>
    <w:rsid w:val="00CB7D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A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4A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A8B"/>
  </w:style>
  <w:style w:type="paragraph" w:styleId="Footer">
    <w:name w:val="footer"/>
    <w:basedOn w:val="Normal"/>
    <w:link w:val="FooterChar"/>
    <w:uiPriority w:val="99"/>
    <w:unhideWhenUsed/>
    <w:rsid w:val="00A14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4A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4A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A8B"/>
  </w:style>
  <w:style w:type="paragraph" w:styleId="Footer">
    <w:name w:val="footer"/>
    <w:basedOn w:val="Normal"/>
    <w:link w:val="FooterChar"/>
    <w:uiPriority w:val="99"/>
    <w:unhideWhenUsed/>
    <w:rsid w:val="00A14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4A8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6</Pages>
  <Words>1032</Words>
  <Characters>5884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6</cp:revision>
  <dcterms:created xsi:type="dcterms:W3CDTF">2020-04-08T18:02:00Z</dcterms:created>
  <dcterms:modified xsi:type="dcterms:W3CDTF">2020-04-08T21:07:00Z</dcterms:modified>
</cp:coreProperties>
</file>